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D2A" w:rsidRPr="00191496" w:rsidRDefault="00F41D2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91496">
        <w:rPr>
          <w:rFonts w:ascii="Times New Roman" w:hAnsi="Times New Roman" w:cs="Times New Roman"/>
          <w:sz w:val="24"/>
          <w:szCs w:val="24"/>
        </w:rPr>
        <w:t>Паспорт</w:t>
      </w:r>
    </w:p>
    <w:p w:rsidR="00F41D2A" w:rsidRPr="00191496" w:rsidRDefault="00F41D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91496">
        <w:rPr>
          <w:rFonts w:ascii="Times New Roman" w:hAnsi="Times New Roman" w:cs="Times New Roman"/>
          <w:sz w:val="24"/>
          <w:szCs w:val="24"/>
        </w:rPr>
        <w:t>государственной программы Ханты-Мансийского автономного</w:t>
      </w:r>
    </w:p>
    <w:p w:rsidR="00F41D2A" w:rsidRPr="00191496" w:rsidRDefault="00F41D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91496">
        <w:rPr>
          <w:rFonts w:ascii="Times New Roman" w:hAnsi="Times New Roman" w:cs="Times New Roman"/>
          <w:sz w:val="24"/>
          <w:szCs w:val="24"/>
        </w:rPr>
        <w:t xml:space="preserve">округа - Югры "Жилищно-коммунальный комплекс и </w:t>
      </w:r>
      <w:proofErr w:type="gramStart"/>
      <w:r w:rsidRPr="00191496">
        <w:rPr>
          <w:rFonts w:ascii="Times New Roman" w:hAnsi="Times New Roman" w:cs="Times New Roman"/>
          <w:sz w:val="24"/>
          <w:szCs w:val="24"/>
        </w:rPr>
        <w:t>городская</w:t>
      </w:r>
      <w:proofErr w:type="gramEnd"/>
    </w:p>
    <w:p w:rsidR="00F41D2A" w:rsidRPr="00191496" w:rsidRDefault="00F41D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91496">
        <w:rPr>
          <w:rFonts w:ascii="Times New Roman" w:hAnsi="Times New Roman" w:cs="Times New Roman"/>
          <w:sz w:val="24"/>
          <w:szCs w:val="24"/>
        </w:rPr>
        <w:t>среда" (далее - государственная программа)</w:t>
      </w:r>
    </w:p>
    <w:p w:rsidR="00F41D2A" w:rsidRPr="00F41D2A" w:rsidRDefault="00F41D2A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39"/>
        <w:gridCol w:w="6917"/>
      </w:tblGrid>
      <w:tr w:rsidR="00191496" w:rsidRPr="00191496" w:rsidTr="00E03EC4">
        <w:tc>
          <w:tcPr>
            <w:tcW w:w="3539" w:type="dxa"/>
          </w:tcPr>
          <w:p w:rsidR="00F41D2A" w:rsidRPr="00191496" w:rsidRDefault="00F41D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6917" w:type="dxa"/>
          </w:tcPr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Жилищно-коммунальный комплекс и городская среда</w:t>
            </w:r>
          </w:p>
        </w:tc>
      </w:tr>
      <w:tr w:rsidR="00191496" w:rsidRPr="00191496" w:rsidTr="00E03EC4">
        <w:tc>
          <w:tcPr>
            <w:tcW w:w="3539" w:type="dxa"/>
          </w:tcPr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Дата утверждения государственной программы (наименование и номер соответствующего нормативного правового акта)</w:t>
            </w:r>
          </w:p>
        </w:tc>
        <w:tc>
          <w:tcPr>
            <w:tcW w:w="6917" w:type="dxa"/>
          </w:tcPr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Ханты-Мансийского автономного округа - Югры от 5 октября 2018 года N 347-п "О государственной программе Ханты-Мансийского автономного округа - Югры "Жилищно-коммунальный комплекс и городская среда"</w:t>
            </w:r>
          </w:p>
        </w:tc>
      </w:tr>
      <w:tr w:rsidR="00191496" w:rsidRPr="00191496" w:rsidTr="00E03EC4">
        <w:tc>
          <w:tcPr>
            <w:tcW w:w="3539" w:type="dxa"/>
          </w:tcPr>
          <w:p w:rsidR="00F41D2A" w:rsidRPr="00191496" w:rsidRDefault="00F41D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6917" w:type="dxa"/>
          </w:tcPr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жилищно-коммунального комплекса и энергетики Ханты-Мансийского автономного округа - Югры (далее - </w:t>
            </w:r>
            <w:proofErr w:type="spellStart"/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Депжкк</w:t>
            </w:r>
            <w:proofErr w:type="spellEnd"/>
            <w:r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 и энергетики Югры)</w:t>
            </w:r>
          </w:p>
        </w:tc>
      </w:tr>
      <w:tr w:rsidR="00191496" w:rsidRPr="00191496" w:rsidTr="00E03EC4">
        <w:tc>
          <w:tcPr>
            <w:tcW w:w="3539" w:type="dxa"/>
          </w:tcPr>
          <w:p w:rsidR="00F41D2A" w:rsidRPr="00191496" w:rsidRDefault="00F41D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6917" w:type="dxa"/>
          </w:tcPr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Департамент социального развития Ханты-Мансийского автономного округа - Югры;</w:t>
            </w:r>
          </w:p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Департамент недропользования и природных ресурсов Ханты-Мансийского автономного округа - Югры</w:t>
            </w:r>
          </w:p>
        </w:tc>
      </w:tr>
      <w:tr w:rsidR="00191496" w:rsidRPr="00191496" w:rsidTr="00E03EC4">
        <w:tc>
          <w:tcPr>
            <w:tcW w:w="3539" w:type="dxa"/>
          </w:tcPr>
          <w:p w:rsidR="00F41D2A" w:rsidRPr="00191496" w:rsidRDefault="00F41D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Цель государственной программы</w:t>
            </w:r>
          </w:p>
        </w:tc>
        <w:tc>
          <w:tcPr>
            <w:tcW w:w="6917" w:type="dxa"/>
          </w:tcPr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надежности предоставления жилищно-коммунальных услуг населению Ханты-Мансийского автономного округа - Югры</w:t>
            </w:r>
          </w:p>
        </w:tc>
      </w:tr>
      <w:tr w:rsidR="00191496" w:rsidRPr="00191496" w:rsidTr="00E03EC4">
        <w:tc>
          <w:tcPr>
            <w:tcW w:w="3539" w:type="dxa"/>
          </w:tcPr>
          <w:p w:rsidR="00F41D2A" w:rsidRPr="00191496" w:rsidRDefault="00F41D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6917" w:type="dxa"/>
          </w:tcPr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1. Повышение эффективности, качества и надежности поставки коммунальных ресурсов.</w:t>
            </w:r>
          </w:p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2. Повышение эффективности управления и содержания общего имущества многоквартирных домов.</w:t>
            </w:r>
          </w:p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3. Привлечение долгосрочных частных инвестиций.</w:t>
            </w:r>
          </w:p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4. Обеспечение устойчивого электроснабжения потребителей и развитие распределенной генерации на удаленных территориях Ханты-Мансийского автономного округа - Югры, входящих в зону децентрализованного электроснабжения.</w:t>
            </w:r>
          </w:p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5. Развитие и модернизация централизованных энергосистем, включая внедрение интеллектуальных систем управления электросетевым хозяйством на базе цифровых технологий.</w:t>
            </w:r>
          </w:p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6. Снижение потребления энергетических ресурсов и повышение </w:t>
            </w:r>
            <w:proofErr w:type="spellStart"/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7. Организация деятельности по исполнению государственной программы.</w:t>
            </w:r>
          </w:p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8. Увеличение сроков безремонтной эксплуатации инженерных сетей жилищно-коммунального комплекса.</w:t>
            </w:r>
          </w:p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9. Обеспечение формирования единых подходов создания комфортной городской среды, разработка и внедрение универсальных механизмов вовлеченности заинтересованных граждан, организаций в реализацию мероприятий по благоустройству дворовых и общественных территорий, проведение мероприятий по благоустройству территорий муниципальных образований в соответствии с едиными требованиями</w:t>
            </w:r>
          </w:p>
        </w:tc>
      </w:tr>
      <w:tr w:rsidR="00191496" w:rsidRPr="00191496" w:rsidTr="00E03EC4">
        <w:tc>
          <w:tcPr>
            <w:tcW w:w="3539" w:type="dxa"/>
          </w:tcPr>
          <w:p w:rsidR="00F41D2A" w:rsidRPr="00191496" w:rsidRDefault="00F41D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6917" w:type="dxa"/>
          </w:tcPr>
          <w:p w:rsidR="00F41D2A" w:rsidRPr="00191496" w:rsidRDefault="007B20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41D2A" w:rsidRPr="00191496">
                <w:rPr>
                  <w:rFonts w:ascii="Times New Roman" w:hAnsi="Times New Roman" w:cs="Times New Roman"/>
                  <w:sz w:val="24"/>
                  <w:szCs w:val="24"/>
                </w:rPr>
                <w:t>Подпрограмма I</w:t>
              </w:r>
            </w:hyperlink>
            <w:r w:rsidR="00F41D2A"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 "Создание условий для обеспечения качественными коммунальными услугами".</w:t>
            </w:r>
          </w:p>
          <w:p w:rsidR="00F41D2A" w:rsidRPr="00191496" w:rsidRDefault="007B20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F41D2A" w:rsidRPr="00191496">
                <w:rPr>
                  <w:rFonts w:ascii="Times New Roman" w:hAnsi="Times New Roman" w:cs="Times New Roman"/>
                  <w:sz w:val="24"/>
                  <w:szCs w:val="24"/>
                </w:rPr>
                <w:t>Подпрограмма II</w:t>
              </w:r>
            </w:hyperlink>
            <w:r w:rsidR="00F41D2A"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 "Содействие проведению капитального ремонта многоквартирных домов".</w:t>
            </w:r>
          </w:p>
          <w:p w:rsidR="00F41D2A" w:rsidRPr="00191496" w:rsidRDefault="007B20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F41D2A" w:rsidRPr="00191496">
                <w:rPr>
                  <w:rFonts w:ascii="Times New Roman" w:hAnsi="Times New Roman" w:cs="Times New Roman"/>
                  <w:sz w:val="24"/>
                  <w:szCs w:val="24"/>
                </w:rPr>
                <w:t>Подпрограмма III</w:t>
              </w:r>
            </w:hyperlink>
            <w:r w:rsidR="00F41D2A"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водоотведения".</w:t>
            </w:r>
          </w:p>
          <w:p w:rsidR="00F41D2A" w:rsidRPr="00191496" w:rsidRDefault="007B20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F41D2A" w:rsidRPr="00191496">
                <w:rPr>
                  <w:rFonts w:ascii="Times New Roman" w:hAnsi="Times New Roman" w:cs="Times New Roman"/>
                  <w:sz w:val="24"/>
                  <w:szCs w:val="24"/>
                </w:rPr>
                <w:t>Подпрограмма IV</w:t>
              </w:r>
            </w:hyperlink>
            <w:r w:rsidR="00F41D2A"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 "Обеспечение равных прав потребителей на получение энергетических ресурсов".</w:t>
            </w:r>
          </w:p>
          <w:p w:rsidR="00F41D2A" w:rsidRPr="00191496" w:rsidRDefault="007B20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F41D2A" w:rsidRPr="00191496">
                <w:rPr>
                  <w:rFonts w:ascii="Times New Roman" w:hAnsi="Times New Roman" w:cs="Times New Roman"/>
                  <w:sz w:val="24"/>
                  <w:szCs w:val="24"/>
                </w:rPr>
                <w:t>Подпрограмма V</w:t>
              </w:r>
            </w:hyperlink>
            <w:r w:rsidR="00F41D2A"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 "Обеспечение потребителей надежным и качественным электроснабжением".</w:t>
            </w:r>
          </w:p>
          <w:p w:rsidR="00F41D2A" w:rsidRPr="00191496" w:rsidRDefault="007B20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F41D2A" w:rsidRPr="00191496">
                <w:rPr>
                  <w:rFonts w:ascii="Times New Roman" w:hAnsi="Times New Roman" w:cs="Times New Roman"/>
                  <w:sz w:val="24"/>
                  <w:szCs w:val="24"/>
                </w:rPr>
                <w:t xml:space="preserve">Подпрограмма </w:t>
              </w:r>
              <w:proofErr w:type="spellStart"/>
              <w:r w:rsidR="00F41D2A" w:rsidRPr="00191496">
                <w:rPr>
                  <w:rFonts w:ascii="Times New Roman" w:hAnsi="Times New Roman" w:cs="Times New Roman"/>
                  <w:sz w:val="24"/>
                  <w:szCs w:val="24"/>
                </w:rPr>
                <w:t>VI</w:t>
              </w:r>
              <w:proofErr w:type="spellEnd"/>
            </w:hyperlink>
            <w:r w:rsidR="00F41D2A"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 "Повышение </w:t>
            </w:r>
            <w:proofErr w:type="spellStart"/>
            <w:r w:rsidR="00F41D2A" w:rsidRPr="00191496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="00F41D2A"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 в отраслях экономики".</w:t>
            </w:r>
          </w:p>
          <w:p w:rsidR="00F41D2A" w:rsidRPr="00191496" w:rsidRDefault="007B20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F41D2A" w:rsidRPr="00191496">
                <w:rPr>
                  <w:rFonts w:ascii="Times New Roman" w:hAnsi="Times New Roman" w:cs="Times New Roman"/>
                  <w:sz w:val="24"/>
                  <w:szCs w:val="24"/>
                </w:rPr>
                <w:t>Подпрограмма VII</w:t>
              </w:r>
            </w:hyperlink>
            <w:r w:rsidR="00F41D2A"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 "Обеспечение реализации государственной программы".</w:t>
            </w:r>
          </w:p>
          <w:p w:rsidR="00F41D2A" w:rsidRPr="00191496" w:rsidRDefault="007B20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F41D2A" w:rsidRPr="00191496">
                <w:rPr>
                  <w:rFonts w:ascii="Times New Roman" w:hAnsi="Times New Roman" w:cs="Times New Roman"/>
                  <w:sz w:val="24"/>
                  <w:szCs w:val="24"/>
                </w:rPr>
                <w:t>Подпрограмма VIII</w:t>
              </w:r>
            </w:hyperlink>
            <w:r w:rsidR="00F41D2A"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 "Содействие внедрению композиционных материалов в сфере </w:t>
            </w:r>
            <w:proofErr w:type="gramStart"/>
            <w:r w:rsidR="00F41D2A" w:rsidRPr="00191496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жилищно-коммунального</w:t>
            </w:r>
            <w:proofErr w:type="gramEnd"/>
            <w:r w:rsidR="00F41D2A"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хозяйства".</w:t>
            </w:r>
          </w:p>
          <w:p w:rsidR="00F41D2A" w:rsidRPr="00191496" w:rsidRDefault="007B20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F41D2A" w:rsidRPr="00191496">
                <w:rPr>
                  <w:rFonts w:ascii="Times New Roman" w:hAnsi="Times New Roman" w:cs="Times New Roman"/>
                  <w:sz w:val="24"/>
                  <w:szCs w:val="24"/>
                </w:rPr>
                <w:t>Подпрограмма IX</w:t>
              </w:r>
            </w:hyperlink>
            <w:r w:rsidR="00F41D2A"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 "Формирование </w:t>
            </w:r>
            <w:proofErr w:type="gramStart"/>
            <w:r w:rsidR="00F41D2A" w:rsidRPr="00191496">
              <w:rPr>
                <w:rFonts w:ascii="Times New Roman" w:hAnsi="Times New Roman" w:cs="Times New Roman"/>
                <w:sz w:val="24"/>
                <w:szCs w:val="24"/>
              </w:rPr>
              <w:t>комфортной</w:t>
            </w:r>
            <w:proofErr w:type="gramEnd"/>
            <w:r w:rsidR="00F41D2A"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среды"</w:t>
            </w:r>
          </w:p>
        </w:tc>
      </w:tr>
      <w:tr w:rsidR="00191496" w:rsidRPr="00191496" w:rsidTr="00E03EC4">
        <w:tc>
          <w:tcPr>
            <w:tcW w:w="3539" w:type="dxa"/>
          </w:tcPr>
          <w:p w:rsidR="00F41D2A" w:rsidRPr="00191496" w:rsidRDefault="00F41D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Портфели проектов, проекты автономного округа, входящие в состав государственной программы, в том числе, направленные,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917" w:type="dxa"/>
          </w:tcPr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Портфель проектов "Экология" - 3 987 982,6 тыс. рублей, в том числе:</w:t>
            </w:r>
          </w:p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"Чистая вода" - 3 987 982,6 тыс. рублей.</w:t>
            </w:r>
          </w:p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Портфель проектов "Жилье и городская среда" - 2 283 428,8 тыс. рублей, в том числе:</w:t>
            </w:r>
          </w:p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проект "Формирование </w:t>
            </w:r>
            <w:proofErr w:type="gramStart"/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комфортной</w:t>
            </w:r>
            <w:proofErr w:type="gramEnd"/>
            <w:r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среды" - 2 283 428,8 тыс. рублей</w:t>
            </w:r>
          </w:p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496" w:rsidRPr="00191496" w:rsidTr="00E03EC4">
        <w:tblPrEx>
          <w:tblBorders>
            <w:insideH w:val="nil"/>
          </w:tblBorders>
        </w:tblPrEx>
        <w:tc>
          <w:tcPr>
            <w:tcW w:w="3539" w:type="dxa"/>
            <w:tcBorders>
              <w:bottom w:val="nil"/>
            </w:tcBorders>
          </w:tcPr>
          <w:p w:rsidR="00F41D2A" w:rsidRPr="00191496" w:rsidRDefault="00F41D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Целевые показатели государственной программы</w:t>
            </w:r>
          </w:p>
        </w:tc>
        <w:tc>
          <w:tcPr>
            <w:tcW w:w="6917" w:type="dxa"/>
            <w:tcBorders>
              <w:bottom w:val="nil"/>
            </w:tcBorders>
          </w:tcPr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1. Увеличение доли населения Ханты-Мансийского автономного округа - Югры, обеспеченного качественной питьевой водой из систем централизованного водоснабжения, с 85,9% до 88,1% в период до 1 января 2025 года.</w:t>
            </w:r>
          </w:p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2. Увеличение количества благоустроенных дворовых и общественных территорий с 152 до 1524 единиц.</w:t>
            </w:r>
          </w:p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3. Увеличение доли граждан, принявших участие в решении вопросов развития городской среды,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среды, с 6,4% до 30% до 1 января 2025 года.</w:t>
            </w:r>
          </w:p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4. Увеличение доли площади жилищного фонда, обеспеченного всеми видами благоустройства, в общей площади жилищного фонда Ханты-Мансийского автономного округа - Югры, до 90,0% в период до 1 января 2031 года (централизованное водоснабжение, водоотведение, теплоснабжение, электроснабжение).</w:t>
            </w:r>
          </w:p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5. Снижение энергоемкости валового регионального продукта Ханты-Мансийского автономного округа - Югры (для фактических и сопоставимых условий) до 19,1 </w:t>
            </w:r>
            <w:proofErr w:type="spellStart"/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./млн. руб.</w:t>
            </w:r>
          </w:p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6. Ежегодное обеспечение 100% исполнения краткосрочных </w:t>
            </w:r>
            <w:proofErr w:type="gramStart"/>
            <w:r w:rsidRPr="001914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 реализации региональной программы капитального ремонта общего имущества многоквартирных домов</w:t>
            </w:r>
            <w:proofErr w:type="gramEnd"/>
            <w:r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 до 1 января 2031 года.</w:t>
            </w:r>
          </w:p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7. Увеличение доли городов (населенных пунктов) с благоприятной городской средой до 63% до 1 января 2025 года</w:t>
            </w:r>
          </w:p>
        </w:tc>
      </w:tr>
      <w:tr w:rsidR="00191496" w:rsidRPr="00191496" w:rsidTr="00E03EC4">
        <w:tc>
          <w:tcPr>
            <w:tcW w:w="3539" w:type="dxa"/>
            <w:tcBorders>
              <w:bottom w:val="single" w:sz="4" w:space="0" w:color="auto"/>
            </w:tcBorders>
          </w:tcPr>
          <w:p w:rsidR="00F41D2A" w:rsidRPr="00191496" w:rsidRDefault="00F41D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государственной программы</w:t>
            </w:r>
          </w:p>
        </w:tc>
        <w:tc>
          <w:tcPr>
            <w:tcW w:w="6917" w:type="dxa"/>
            <w:tcBorders>
              <w:bottom w:val="single" w:sz="4" w:space="0" w:color="auto"/>
            </w:tcBorders>
          </w:tcPr>
          <w:p w:rsidR="00F41D2A" w:rsidRPr="00191496" w:rsidRDefault="00F41D2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2019 - 2025 годы и на период до 2030 года</w:t>
            </w:r>
          </w:p>
        </w:tc>
      </w:tr>
      <w:tr w:rsidR="00191496" w:rsidRPr="00191496" w:rsidTr="00E03EC4">
        <w:tblPrEx>
          <w:tblBorders>
            <w:insideH w:val="nil"/>
          </w:tblBorders>
        </w:tblPrEx>
        <w:tc>
          <w:tcPr>
            <w:tcW w:w="3539" w:type="dxa"/>
            <w:tcBorders>
              <w:top w:val="single" w:sz="4" w:space="0" w:color="auto"/>
              <w:bottom w:val="single" w:sz="4" w:space="0" w:color="auto"/>
            </w:tcBorders>
          </w:tcPr>
          <w:p w:rsidR="00F41D2A" w:rsidRPr="00191496" w:rsidRDefault="00F41D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государственной программы</w:t>
            </w:r>
          </w:p>
        </w:tc>
        <w:tc>
          <w:tcPr>
            <w:tcW w:w="6917" w:type="dxa"/>
            <w:tcBorders>
              <w:top w:val="single" w:sz="4" w:space="0" w:color="auto"/>
              <w:bottom w:val="single" w:sz="4" w:space="0" w:color="auto"/>
            </w:tcBorders>
          </w:tcPr>
          <w:p w:rsidR="00F41D2A" w:rsidRPr="00191496" w:rsidRDefault="00F41D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государственной программы - 112 290 606,8 тыс. рублей, в том числе:</w:t>
            </w:r>
          </w:p>
          <w:p w:rsidR="00F41D2A" w:rsidRPr="00191496" w:rsidRDefault="00F41D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2019 год - </w:t>
            </w:r>
            <w:r w:rsidR="00CF389E" w:rsidRPr="00191496">
              <w:rPr>
                <w:rFonts w:ascii="Times New Roman" w:hAnsi="Times New Roman" w:cs="Times New Roman"/>
                <w:sz w:val="24"/>
                <w:szCs w:val="24"/>
              </w:rPr>
              <w:t>10 577 743,7</w:t>
            </w: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41D2A" w:rsidRPr="00191496" w:rsidRDefault="00F41D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2020 год - </w:t>
            </w:r>
            <w:r w:rsidR="00CF389E" w:rsidRPr="00191496">
              <w:rPr>
                <w:rFonts w:ascii="Times New Roman" w:hAnsi="Times New Roman" w:cs="Times New Roman"/>
                <w:sz w:val="24"/>
                <w:szCs w:val="24"/>
              </w:rPr>
              <w:t>10 326 419,7</w:t>
            </w: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41D2A" w:rsidRPr="00191496" w:rsidRDefault="00F41D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2021 год - 8 684 353,6 тыс. рублей;</w:t>
            </w:r>
          </w:p>
          <w:p w:rsidR="00F41D2A" w:rsidRPr="00191496" w:rsidRDefault="00F41D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2022 год - </w:t>
            </w:r>
            <w:r w:rsidR="00CF389E" w:rsidRPr="00191496">
              <w:rPr>
                <w:rFonts w:ascii="Times New Roman" w:hAnsi="Times New Roman" w:cs="Times New Roman"/>
                <w:sz w:val="24"/>
                <w:szCs w:val="24"/>
              </w:rPr>
              <w:t>9 890 842,8</w:t>
            </w: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41D2A" w:rsidRPr="00191496" w:rsidRDefault="00F41D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2023 год - 8 837 825,4 тыс. рублей;</w:t>
            </w:r>
          </w:p>
          <w:p w:rsidR="00F41D2A" w:rsidRPr="00191496" w:rsidRDefault="00F41D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2024 год - 8 809 020,8 тыс. рублей;</w:t>
            </w:r>
          </w:p>
          <w:p w:rsidR="00F41D2A" w:rsidRPr="00191496" w:rsidRDefault="00F41D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2025 год - 8 665 910,8 тыс. рублей;</w:t>
            </w:r>
          </w:p>
          <w:p w:rsidR="00F41D2A" w:rsidRPr="00191496" w:rsidRDefault="00F41D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6">
              <w:rPr>
                <w:rFonts w:ascii="Times New Roman" w:hAnsi="Times New Roman" w:cs="Times New Roman"/>
                <w:sz w:val="24"/>
                <w:szCs w:val="24"/>
              </w:rPr>
              <w:t>в 2026 - 2030 годах - 43 329 554,1 тыс. рублей</w:t>
            </w:r>
          </w:p>
        </w:tc>
      </w:tr>
    </w:tbl>
    <w:p w:rsidR="00A908D1" w:rsidRPr="00F41D2A" w:rsidRDefault="00A908D1">
      <w:pPr>
        <w:rPr>
          <w:rFonts w:ascii="Times New Roman" w:hAnsi="Times New Roman" w:cs="Times New Roman"/>
        </w:rPr>
      </w:pPr>
    </w:p>
    <w:sectPr w:rsidR="00A908D1" w:rsidRPr="00F41D2A" w:rsidSect="007B2035">
      <w:headerReference w:type="default" r:id="rId16"/>
      <w:pgSz w:w="11906" w:h="16838"/>
      <w:pgMar w:top="720" w:right="720" w:bottom="720" w:left="720" w:header="708" w:footer="708" w:gutter="0"/>
      <w:pgNumType w:start="28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035" w:rsidRDefault="007B2035" w:rsidP="007B2035">
      <w:pPr>
        <w:spacing w:after="0" w:line="240" w:lineRule="auto"/>
      </w:pPr>
      <w:r>
        <w:separator/>
      </w:r>
    </w:p>
  </w:endnote>
  <w:endnote w:type="continuationSeparator" w:id="0">
    <w:p w:rsidR="007B2035" w:rsidRDefault="007B2035" w:rsidP="007B2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035" w:rsidRDefault="007B2035" w:rsidP="007B2035">
      <w:pPr>
        <w:spacing w:after="0" w:line="240" w:lineRule="auto"/>
      </w:pPr>
      <w:r>
        <w:separator/>
      </w:r>
    </w:p>
  </w:footnote>
  <w:footnote w:type="continuationSeparator" w:id="0">
    <w:p w:rsidR="007B2035" w:rsidRDefault="007B2035" w:rsidP="007B2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8596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B2035" w:rsidRPr="007B2035" w:rsidRDefault="007B2035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B203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B203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B2035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2893</w:t>
        </w:r>
        <w:r w:rsidRPr="007B203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B2035" w:rsidRDefault="007B203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D2A"/>
    <w:rsid w:val="00191496"/>
    <w:rsid w:val="007B2035"/>
    <w:rsid w:val="00A908D1"/>
    <w:rsid w:val="00CF389E"/>
    <w:rsid w:val="00DD28BA"/>
    <w:rsid w:val="00E03EC4"/>
    <w:rsid w:val="00F4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1D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41D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B2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2035"/>
  </w:style>
  <w:style w:type="paragraph" w:styleId="a5">
    <w:name w:val="footer"/>
    <w:basedOn w:val="a"/>
    <w:link w:val="a6"/>
    <w:uiPriority w:val="99"/>
    <w:unhideWhenUsed/>
    <w:rsid w:val="007B2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20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1D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41D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B2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2035"/>
  </w:style>
  <w:style w:type="paragraph" w:styleId="a5">
    <w:name w:val="footer"/>
    <w:basedOn w:val="a"/>
    <w:link w:val="a6"/>
    <w:uiPriority w:val="99"/>
    <w:unhideWhenUsed/>
    <w:rsid w:val="007B2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2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A0B1A3DE866659D10C9417EABA351EF7BEAFBED7CBE7B488A16325D5DC6610C2B8A26DFEFD2D9ABBE49E07F399FAA7C1A0EB6C52FA81F43D1893BB72PEG" TargetMode="External"/><Relationship Id="rId13" Type="http://schemas.openxmlformats.org/officeDocument/2006/relationships/hyperlink" Target="consultantplus://offline/ref=39A0B1A3DE866659D10C9417EABA351EF7BEAFBED7CBE7B488A16325D5DC6610C2B8A26DFEFD2D9ABBEB9D03F499FAA7C1A0EB6C52FA81F43D1893BB72PE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9A0B1A3DE866659D10C9417EABA351EF7BEAFBED7CBE7B488A16325D5DC6610C2B8A26DFEFD2D9ABBE49F00F099FAA7C1A0EB6C52FA81F43D1893BB72PEG" TargetMode="External"/><Relationship Id="rId12" Type="http://schemas.openxmlformats.org/officeDocument/2006/relationships/hyperlink" Target="consultantplus://offline/ref=39A0B1A3DE866659D10C9417EABA351EF7BEAFBED7CBE7B488A16325D5DC6610C2B8A26DFEFD2D9ABBEB9909F799FAA7C1A0EB6C52FA81F43D1893BB72PEG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9A0B1A3DE866659D10C9417EABA351EF7BEAFBED7CBE7B488A16325D5DC6610C2B8A26DFEFD2D9ABBEB9904F299FAA7C1A0EB6C52FA81F43D1893BB72PEG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9A0B1A3DE866659D10C9417EABA351EF7BEAFBED7CBE7B488A16325D5DC6610C2B8A26DFEFD2D9ABBEB9F05F299FAA7C1A0EB6C52FA81F43D1893BB72PEG" TargetMode="External"/><Relationship Id="rId10" Type="http://schemas.openxmlformats.org/officeDocument/2006/relationships/hyperlink" Target="consultantplus://offline/ref=39A0B1A3DE866659D10C9417EABA351EF7BEAFBED7CBE7B488A16325D5DC6610C2B8A26DFEFD2D9ABBE49005FC99FAA7C1A0EB6C52FA81F43D1893BB72P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9A0B1A3DE866659D10C9417EABA351EF7BEAFBED7CBE7B488A16325D5DC6610C2B8A26DFEFD2D9ABBE49108F199FAA7C1A0EB6C52FA81F43D1893BB72PEG" TargetMode="External"/><Relationship Id="rId14" Type="http://schemas.openxmlformats.org/officeDocument/2006/relationships/hyperlink" Target="consultantplus://offline/ref=39A0B1A3DE866659D10C9417EABA351EF7BEAFBED7CBE7B488A16325D5DC6610C2B8A26DFEFD2D9ABBEB9C09FD99FAA7C1A0EB6C52FA81F43D1893BB72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1096</Words>
  <Characters>6253</Characters>
  <Application>Microsoft Office Word</Application>
  <DocSecurity>0</DocSecurity>
  <Lines>52</Lines>
  <Paragraphs>14</Paragraphs>
  <ScaleCrop>false</ScaleCrop>
  <Company/>
  <LinksUpToDate>false</LinksUpToDate>
  <CharactersWithSpaces>7335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Пучкова Оксана Феофановна</dc:creator>
  <cp:keywords/>
  <dc:description/>
  <cp:lastModifiedBy>Шубная  Юлия  Петровна</cp:lastModifiedBy>
  <cp:revision>6</cp:revision>
  <cp:lastPrinted>2019-10-11T06:43:00Z</cp:lastPrinted>
  <dcterms:created xsi:type="dcterms:W3CDTF">2019-10-11T06:15:00Z</dcterms:created>
  <dcterms:modified xsi:type="dcterms:W3CDTF">2019-10-21T05:48:00Z</dcterms:modified>
</cp:coreProperties>
</file>